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3314"/>
        <w:gridCol w:w="1602"/>
        <w:gridCol w:w="1739"/>
      </w:tblGrid>
      <w:tr w:rsidR="00D50909" w:rsidRPr="00C84ABE" w14:paraId="0ED34884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vAlign w:val="center"/>
          </w:tcPr>
          <w:p w14:paraId="372D0CD5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bookmarkStart w:id="0" w:name="_Hlk109406958"/>
            <w:r w:rsidRPr="00C84ABE">
              <w:rPr>
                <w:rFonts w:cstheme="minorHAnsi"/>
                <w:noProof/>
              </w:rPr>
              <w:drawing>
                <wp:inline distT="0" distB="0" distL="0" distR="0" wp14:anchorId="53A939BD" wp14:editId="1E18E5C6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5" w:type="dxa"/>
            <w:gridSpan w:val="3"/>
            <w:shd w:val="clear" w:color="auto" w:fill="7C7FAB"/>
            <w:vAlign w:val="center"/>
          </w:tcPr>
          <w:p w14:paraId="56520C16" w14:textId="77777777" w:rsidR="00D50909" w:rsidRPr="00C84ABE" w:rsidRDefault="00D50909" w:rsidP="00EA3A42">
            <w:pPr>
              <w:spacing w:line="276" w:lineRule="auto"/>
              <w:jc w:val="center"/>
              <w:rPr>
                <w:rFonts w:cstheme="minorHAnsi"/>
                <w:b/>
                <w:noProof/>
                <w:color w:val="FFFFFF" w:themeColor="background1"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</w:rPr>
              <w:t>Pomorskie Trasy Rowerowe – Etap II</w:t>
            </w:r>
          </w:p>
          <w:p w14:paraId="24A6977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  <w:color w:val="FFFFFF" w:themeColor="background1"/>
                <w:sz w:val="12"/>
              </w:rPr>
            </w:pPr>
          </w:p>
          <w:p w14:paraId="260E54A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  <w:sz w:val="32"/>
              </w:rPr>
              <w:t>KARTA ZADANIA</w:t>
            </w:r>
          </w:p>
        </w:tc>
      </w:tr>
      <w:tr w:rsidR="00940141" w:rsidRPr="00C84ABE" w14:paraId="01DBC5A9" w14:textId="77777777" w:rsidTr="00CB6E29">
        <w:tc>
          <w:tcPr>
            <w:tcW w:w="2689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A91B75C" w14:textId="77777777" w:rsidR="00940141" w:rsidRPr="00C84ABE" w:rsidRDefault="00940141" w:rsidP="00940141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Beneficjent</w:t>
            </w:r>
          </w:p>
        </w:tc>
        <w:tc>
          <w:tcPr>
            <w:tcW w:w="3314" w:type="dxa"/>
            <w:tcBorders>
              <w:bottom w:val="single" w:sz="4" w:space="0" w:color="000000" w:themeColor="text1"/>
            </w:tcBorders>
            <w:vAlign w:val="center"/>
          </w:tcPr>
          <w:p w14:paraId="2334223C" w14:textId="76F5B817" w:rsidR="00940141" w:rsidRPr="00C84ABE" w:rsidRDefault="00940141" w:rsidP="00940141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Gmina Miłoradz</w:t>
            </w:r>
          </w:p>
        </w:tc>
        <w:tc>
          <w:tcPr>
            <w:tcW w:w="1602" w:type="dxa"/>
            <w:tcBorders>
              <w:bottom w:val="single" w:sz="4" w:space="0" w:color="000000" w:themeColor="text1"/>
            </w:tcBorders>
            <w:shd w:val="clear" w:color="auto" w:fill="7C7FAB"/>
          </w:tcPr>
          <w:p w14:paraId="22121B29" w14:textId="142EC1C4" w:rsidR="00940141" w:rsidRPr="00AF1079" w:rsidRDefault="00940141" w:rsidP="00940141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B7016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 PTR II</w:t>
            </w:r>
            <w:r w:rsidRPr="00AB7016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:</w:t>
            </w:r>
          </w:p>
        </w:tc>
        <w:tc>
          <w:tcPr>
            <w:tcW w:w="1739" w:type="dxa"/>
            <w:tcBorders>
              <w:bottom w:val="single" w:sz="4" w:space="0" w:color="000000" w:themeColor="text1"/>
            </w:tcBorders>
            <w:vAlign w:val="center"/>
          </w:tcPr>
          <w:p w14:paraId="2BA8B2B0" w14:textId="74AA374D" w:rsidR="00940141" w:rsidRPr="00C84ABE" w:rsidRDefault="00940141" w:rsidP="00940141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BC6DC6">
              <w:rPr>
                <w:rFonts w:eastAsia="Times New Roman" w:cstheme="minorHAnsi"/>
                <w:sz w:val="20"/>
                <w:szCs w:val="20"/>
              </w:rPr>
              <w:t>EV9_WTR_</w:t>
            </w:r>
            <w:r>
              <w:rPr>
                <w:rFonts w:eastAsia="Times New Roman" w:cstheme="minorHAnsi"/>
                <w:sz w:val="20"/>
                <w:szCs w:val="20"/>
              </w:rPr>
              <w:t>82-99</w:t>
            </w:r>
          </w:p>
        </w:tc>
      </w:tr>
      <w:tr w:rsidR="00D50909" w:rsidRPr="00C84ABE" w14:paraId="7751E447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73A8EF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C8B0713" w14:textId="30FCB5BC" w:rsidR="00D50909" w:rsidRPr="00C84ABE" w:rsidRDefault="002F2C01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P</w:t>
            </w:r>
            <w:r w:rsidRPr="001B0C1D">
              <w:rPr>
                <w:rFonts w:eastAsia="Times New Roman" w:cs="Calibri"/>
                <w:sz w:val="20"/>
                <w:szCs w:val="20"/>
              </w:rPr>
              <w:t>rzed wjazdem do miejscowości Kończewice od strony miejscowości Bystrze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C9B4BFB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BE9B20" w14:textId="39100112" w:rsidR="00D50909" w:rsidRPr="00C84ABE" w:rsidRDefault="002F2C01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ok 1,3</w:t>
            </w:r>
            <w:r w:rsidR="00AF2CED">
              <w:rPr>
                <w:rFonts w:eastAsia="Times New Roman" w:cs="Calibri"/>
                <w:sz w:val="20"/>
                <w:szCs w:val="20"/>
              </w:rPr>
              <w:t>5</w:t>
            </w:r>
            <w:r>
              <w:rPr>
                <w:rFonts w:eastAsia="Times New Roman" w:cs="Calibri"/>
                <w:sz w:val="20"/>
                <w:szCs w:val="20"/>
              </w:rPr>
              <w:t xml:space="preserve"> km</w:t>
            </w:r>
          </w:p>
        </w:tc>
      </w:tr>
      <w:tr w:rsidR="00D50909" w:rsidRPr="00C84ABE" w14:paraId="53F4D7D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AF66D7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3090113" w14:textId="51B9F0C9" w:rsidR="00D50909" w:rsidRPr="00C84ABE" w:rsidRDefault="00483353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Po wjeździe </w:t>
            </w:r>
            <w:r w:rsidR="002F2C01" w:rsidRPr="00937311">
              <w:rPr>
                <w:rFonts w:eastAsia="Times New Roman" w:cs="Calibri"/>
                <w:sz w:val="20"/>
                <w:szCs w:val="20"/>
              </w:rPr>
              <w:t>do miejscowości Stara Wisła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B7B0DDD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CFE0EE" w14:textId="718BDE26" w:rsidR="00D50909" w:rsidRPr="00C84ABE" w:rsidRDefault="00AF2CED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>Sierpień</w:t>
            </w:r>
            <w:r w:rsidR="00D50909" w:rsidRPr="00C84ABE">
              <w:rPr>
                <w:rFonts w:cstheme="minorHAnsi"/>
                <w:noProof/>
                <w:sz w:val="20"/>
              </w:rPr>
              <w:t xml:space="preserve"> 2022</w:t>
            </w:r>
          </w:p>
        </w:tc>
      </w:tr>
      <w:tr w:rsidR="00D50909" w:rsidRPr="00C84ABE" w14:paraId="704CD784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30A051C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272FC7B" w14:textId="70E60BC0" w:rsidR="00D50909" w:rsidRPr="00A61923" w:rsidRDefault="002F2C01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Droga powiatowa</w:t>
            </w:r>
            <w:r w:rsidR="00091207">
              <w:rPr>
                <w:rFonts w:eastAsia="Times New Roman" w:cs="Calibri"/>
                <w:sz w:val="20"/>
                <w:szCs w:val="20"/>
              </w:rPr>
              <w:t xml:space="preserve"> 2916G</w:t>
            </w:r>
          </w:p>
        </w:tc>
      </w:tr>
      <w:tr w:rsidR="00D50909" w:rsidRPr="00C84ABE" w14:paraId="041A5A13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EF4E52E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Przebieg: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08E3DD" w14:textId="7ACE485E" w:rsidR="00D50909" w:rsidRPr="00C84ABE" w:rsidRDefault="002F2C01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Odcinek przebiega przez miejscowość Kończewice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  <w:r w:rsidR="00091207">
              <w:rPr>
                <w:rFonts w:cstheme="minorHAnsi"/>
                <w:noProof/>
                <w:sz w:val="20"/>
              </w:rPr>
              <w:t>i kończy się w miejscowości Stara Wisła</w:t>
            </w:r>
          </w:p>
        </w:tc>
      </w:tr>
      <w:tr w:rsidR="00D50909" w:rsidRPr="00C84ABE" w14:paraId="0A1E5E41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1FE34A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obecny: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03631BA" w14:textId="79581CAB" w:rsidR="00D50909" w:rsidRPr="00C84ABE" w:rsidRDefault="002F2C01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Wykorzystywana przez rowerzystów powiatowa droga asfaltowa charakteryzuje się średniej jakości nawierzchnią (punktowe </w:t>
            </w:r>
            <w:r w:rsidRPr="00330F73">
              <w:rPr>
                <w:rFonts w:eastAsia="Times New Roman" w:cs="Calibri"/>
                <w:sz w:val="20"/>
                <w:szCs w:val="20"/>
              </w:rPr>
              <w:t>miejsca napraw ubytków asfaltu</w:t>
            </w:r>
            <w:r>
              <w:rPr>
                <w:rFonts w:eastAsia="Times New Roman" w:cs="Calibri"/>
                <w:sz w:val="20"/>
                <w:szCs w:val="20"/>
              </w:rPr>
              <w:t xml:space="preserve"> oraz nierówności). Na trasie odcinka wzdłuż drogi nie ma chodników. Wzdłuż </w:t>
            </w:r>
            <w:r w:rsidR="00C93E6B">
              <w:rPr>
                <w:rFonts w:eastAsia="Times New Roman" w:cs="Calibri"/>
                <w:sz w:val="20"/>
                <w:szCs w:val="20"/>
              </w:rPr>
              <w:t xml:space="preserve">niniejszego </w:t>
            </w:r>
            <w:r>
              <w:rPr>
                <w:rFonts w:eastAsia="Times New Roman" w:cs="Calibri"/>
                <w:sz w:val="20"/>
                <w:szCs w:val="20"/>
              </w:rPr>
              <w:t xml:space="preserve">odcinka </w:t>
            </w:r>
            <w:r w:rsidR="00C93E6B">
              <w:rPr>
                <w:rFonts w:eastAsia="Times New Roman" w:cs="Calibri"/>
                <w:sz w:val="20"/>
                <w:szCs w:val="20"/>
              </w:rPr>
              <w:t xml:space="preserve">na długości ok. 600 m </w:t>
            </w:r>
            <w:r>
              <w:rPr>
                <w:rFonts w:eastAsia="Times New Roman" w:cs="Calibri"/>
                <w:sz w:val="20"/>
                <w:szCs w:val="20"/>
              </w:rPr>
              <w:t>w przeszłości zlokalizowana była trasa kolejki wąskotorowej</w:t>
            </w:r>
            <w:r w:rsidR="00C93E6B">
              <w:rPr>
                <w:rFonts w:eastAsia="Times New Roman" w:cs="Calibri"/>
                <w:sz w:val="20"/>
                <w:szCs w:val="20"/>
              </w:rPr>
              <w:t>.</w:t>
            </w:r>
          </w:p>
        </w:tc>
      </w:tr>
      <w:tr w:rsidR="00D50909" w:rsidRPr="00C84ABE" w14:paraId="57F67760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A129823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8B589E4" w14:textId="4D9B8E26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Rodzaj nawierzchni: asfalt</w:t>
            </w:r>
          </w:p>
          <w:p w14:paraId="0777B0CB" w14:textId="14AD6B7B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drogi: ciąg pierszo-rowerowy </w:t>
            </w:r>
          </w:p>
          <w:p w14:paraId="15C621BB" w14:textId="46BD3C48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Szerokość drogi: </w:t>
            </w:r>
            <w:r w:rsidR="00A43946">
              <w:rPr>
                <w:rFonts w:cstheme="minorHAnsi"/>
                <w:noProof/>
                <w:sz w:val="20"/>
              </w:rPr>
              <w:t>3</w:t>
            </w:r>
            <w:r w:rsidRPr="00C84ABE">
              <w:rPr>
                <w:rFonts w:cstheme="minorHAnsi"/>
                <w:noProof/>
                <w:sz w:val="20"/>
              </w:rPr>
              <w:t xml:space="preserve"> m,</w:t>
            </w:r>
          </w:p>
          <w:p w14:paraId="6D08CF6F" w14:textId="3320757E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Obszar zabudowany: </w:t>
            </w:r>
            <w:r w:rsidRPr="00091207">
              <w:rPr>
                <w:rFonts w:cstheme="minorHAnsi"/>
                <w:noProof/>
                <w:sz w:val="20"/>
              </w:rPr>
              <w:t>Tak</w:t>
            </w:r>
            <w:r w:rsidR="00C93E6B">
              <w:rPr>
                <w:rFonts w:cstheme="minorHAnsi"/>
                <w:noProof/>
                <w:sz w:val="20"/>
              </w:rPr>
              <w:t xml:space="preserve"> – na długości: ok. 750 m, pozostały fragment poza terenem zabudowanym</w:t>
            </w:r>
          </w:p>
          <w:p w14:paraId="658C71CB" w14:textId="10E06275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Inne kwestie: </w:t>
            </w:r>
            <w:r w:rsidR="00055733">
              <w:rPr>
                <w:rFonts w:cstheme="minorHAnsi"/>
                <w:noProof/>
                <w:sz w:val="20"/>
              </w:rPr>
              <w:t xml:space="preserve">przewiduje się wykonanie odwodnienia połaciowego po istniejącego rowu, pozostała część ścieżki odwodniona poprzez studnie chłonne, wykonane zostanie oznakowanie, </w:t>
            </w:r>
            <w:r w:rsidR="000A15E0">
              <w:rPr>
                <w:rFonts w:cstheme="minorHAnsi"/>
                <w:noProof/>
                <w:sz w:val="20"/>
              </w:rPr>
              <w:t xml:space="preserve">dla </w:t>
            </w:r>
            <w:r w:rsidR="00055733">
              <w:rPr>
                <w:rFonts w:cstheme="minorHAnsi"/>
                <w:noProof/>
                <w:sz w:val="20"/>
              </w:rPr>
              <w:t>częś</w:t>
            </w:r>
            <w:r w:rsidR="000A15E0">
              <w:rPr>
                <w:rFonts w:cstheme="minorHAnsi"/>
                <w:noProof/>
                <w:sz w:val="20"/>
              </w:rPr>
              <w:t>ci</w:t>
            </w:r>
            <w:r w:rsidR="00055733">
              <w:rPr>
                <w:rFonts w:cstheme="minorHAnsi"/>
                <w:noProof/>
                <w:sz w:val="20"/>
              </w:rPr>
              <w:t xml:space="preserve"> ścieżki biegną</w:t>
            </w:r>
            <w:r w:rsidR="000A15E0">
              <w:rPr>
                <w:rFonts w:cstheme="minorHAnsi"/>
                <w:noProof/>
                <w:sz w:val="20"/>
              </w:rPr>
              <w:t>cej</w:t>
            </w:r>
            <w:r w:rsidR="00055733">
              <w:rPr>
                <w:rFonts w:cstheme="minorHAnsi"/>
                <w:noProof/>
                <w:sz w:val="20"/>
              </w:rPr>
              <w:t xml:space="preserve"> poza pasem drogowym zostanie</w:t>
            </w:r>
            <w:r w:rsidR="000A15E0">
              <w:rPr>
                <w:rFonts w:cstheme="minorHAnsi"/>
                <w:noProof/>
                <w:sz w:val="20"/>
              </w:rPr>
              <w:t xml:space="preserve"> wykonane oświetlenie</w:t>
            </w:r>
          </w:p>
        </w:tc>
      </w:tr>
      <w:tr w:rsidR="00D50909" w:rsidRPr="00C84ABE" w14:paraId="6FE52755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54E76AB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56D1C6D" w14:textId="56C3029C" w:rsidR="00D50909" w:rsidRDefault="00385BD4" w:rsidP="00EA3A42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5B4853">
              <w:rPr>
                <w:rFonts w:eastAsia="Times New Roman" w:cstheme="minorHAnsi"/>
                <w:sz w:val="20"/>
                <w:szCs w:val="20"/>
              </w:rPr>
              <w:t>Dz.</w:t>
            </w:r>
            <w:r w:rsidR="00D83C9A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Pr="005B4853">
              <w:rPr>
                <w:rFonts w:eastAsia="Times New Roman" w:cstheme="minorHAnsi"/>
                <w:sz w:val="20"/>
                <w:szCs w:val="20"/>
              </w:rPr>
              <w:t xml:space="preserve">26 obr. Stara Wisła, id. </w:t>
            </w:r>
            <w:r w:rsidRPr="005B4853">
              <w:rPr>
                <w:sz w:val="20"/>
                <w:szCs w:val="20"/>
              </w:rPr>
              <w:t>220906_2.0009.26, KW GD1M/00031119/2, wł. Powiat Malborski</w:t>
            </w:r>
            <w:r>
              <w:rPr>
                <w:sz w:val="20"/>
                <w:szCs w:val="20"/>
              </w:rPr>
              <w:t xml:space="preserve"> – DP 2916G</w:t>
            </w:r>
          </w:p>
          <w:p w14:paraId="2FB017A8" w14:textId="77777777" w:rsidR="00385BD4" w:rsidRDefault="00D83C9A" w:rsidP="00EA3A42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Dz. 333/3, obr. Kończewice, id. </w:t>
            </w:r>
            <w:r w:rsidRPr="00D83C9A">
              <w:rPr>
                <w:sz w:val="20"/>
                <w:szCs w:val="20"/>
              </w:rPr>
              <w:t>220906_2.0003.333/3</w:t>
            </w:r>
            <w:r>
              <w:rPr>
                <w:sz w:val="20"/>
                <w:szCs w:val="20"/>
              </w:rPr>
              <w:t>, KW GD1m/00031212/4, wł. Powiat Malborski – DP 2916G</w:t>
            </w:r>
          </w:p>
          <w:p w14:paraId="78E45E68" w14:textId="77777777" w:rsidR="00D83C9A" w:rsidRDefault="00D83C9A" w:rsidP="00EA3A42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</w:rPr>
              <w:t xml:space="preserve">Dz. 333/1, obr. Kończewice, id. </w:t>
            </w:r>
            <w:r w:rsidRPr="00D83C9A">
              <w:rPr>
                <w:rFonts w:eastAsia="Times New Roman" w:cstheme="minorHAnsi"/>
                <w:sz w:val="20"/>
              </w:rPr>
              <w:t>220906_2.0003.333/1</w:t>
            </w:r>
            <w:r>
              <w:rPr>
                <w:rFonts w:eastAsia="Times New Roman" w:cstheme="minorHAnsi"/>
                <w:sz w:val="20"/>
              </w:rPr>
              <w:t xml:space="preserve">, KW GD1M/00031212/4, wł. </w:t>
            </w:r>
            <w:r>
              <w:rPr>
                <w:sz w:val="20"/>
                <w:szCs w:val="20"/>
              </w:rPr>
              <w:t>Powiat Malborski – DP 2916G</w:t>
            </w:r>
          </w:p>
          <w:p w14:paraId="2A54650D" w14:textId="2B529172" w:rsidR="00D83C9A" w:rsidRDefault="00D83C9A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Dz. 67/3, obr. Kończewice, id. </w:t>
            </w:r>
            <w:r w:rsidRPr="00D83C9A">
              <w:rPr>
                <w:rFonts w:eastAsia="Times New Roman" w:cstheme="minorHAnsi"/>
                <w:sz w:val="20"/>
              </w:rPr>
              <w:t>220906_2.0003.67/3</w:t>
            </w:r>
            <w:r>
              <w:rPr>
                <w:rFonts w:eastAsia="Times New Roman" w:cstheme="minorHAnsi"/>
                <w:sz w:val="20"/>
              </w:rPr>
              <w:t>, KW GD1M/00031214/8, wł. Skarb Państwa, uw. Polskie Koleje Państwowe</w:t>
            </w:r>
            <w:r w:rsidR="00F12DBA">
              <w:rPr>
                <w:rFonts w:eastAsia="Times New Roman" w:cstheme="minorHAnsi"/>
                <w:sz w:val="20"/>
              </w:rPr>
              <w:t xml:space="preserve"> SA</w:t>
            </w:r>
          </w:p>
          <w:p w14:paraId="6B81DC16" w14:textId="261D6C7B" w:rsidR="00D83C9A" w:rsidRPr="00823718" w:rsidRDefault="00D83C9A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Dz. 68, obr. Kończewice, id. </w:t>
            </w:r>
            <w:r w:rsidRPr="00D83C9A">
              <w:rPr>
                <w:rFonts w:eastAsia="Times New Roman" w:cstheme="minorHAnsi"/>
                <w:sz w:val="20"/>
              </w:rPr>
              <w:t>220906_2.0003.68</w:t>
            </w:r>
            <w:r>
              <w:rPr>
                <w:rFonts w:eastAsia="Times New Roman" w:cstheme="minorHAnsi"/>
                <w:sz w:val="20"/>
              </w:rPr>
              <w:t>, KW GD1M/00018947/8, wł. Gmina Miłoradz</w:t>
            </w:r>
          </w:p>
        </w:tc>
      </w:tr>
      <w:tr w:rsidR="00D50909" w:rsidRPr="00C84ABE" w14:paraId="24D50DCB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522E516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Uzgodnienia z interesariuszami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7970E49A" w14:textId="34646279" w:rsidR="00D50909" w:rsidRDefault="00055733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Droga będzie biegła w pasie drogowym drogi powiatowej 2916G, podobnie jak istniejący odcinek ścieżki, której kontynuację przewiduje przedmiotowa karta, </w:t>
            </w:r>
            <w:r w:rsidR="003708D0">
              <w:rPr>
                <w:rFonts w:eastAsia="Times New Roman" w:cstheme="minorHAnsi"/>
                <w:sz w:val="20"/>
              </w:rPr>
              <w:t>Gmina i Powiat uzgodniły, że na ten cel Powiat przekaże Gminie działkę nieodpłatnie w użytkowanie.</w:t>
            </w:r>
          </w:p>
          <w:p w14:paraId="39419A9B" w14:textId="405D54AE" w:rsidR="000A15E0" w:rsidRPr="00C84ABE" w:rsidRDefault="000A15E0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Dla działki nr 67/3 będącej w użytkowaniu PKP SA Gmina Miłoradz uzyska</w:t>
            </w:r>
            <w:r w:rsidR="00AF2CED">
              <w:rPr>
                <w:rFonts w:eastAsia="Times New Roman" w:cstheme="minorHAnsi"/>
                <w:sz w:val="20"/>
              </w:rPr>
              <w:t>ł</w:t>
            </w:r>
            <w:r>
              <w:rPr>
                <w:rFonts w:eastAsia="Times New Roman" w:cstheme="minorHAnsi"/>
                <w:sz w:val="20"/>
              </w:rPr>
              <w:t xml:space="preserve">a zgodę na przekazanie jej przez PKP Oddział Gospodarowania Nieruchomościami w Gdańsku, oczekujemy na finalizacje przekazania po uzyskaniu przez Oddział w Gdańsku niezbędnych formalności z Oddziału Głównego w Warszawie. </w:t>
            </w:r>
          </w:p>
        </w:tc>
      </w:tr>
      <w:tr w:rsidR="00D50909" w:rsidRPr="00C84ABE" w14:paraId="738D6D5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C7EE44A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Stopień przygotowania dokumentacji technicznej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DDFF07" w14:textId="5B43EFF2" w:rsidR="00D50909" w:rsidRPr="00C84ABE" w:rsidRDefault="000A15E0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Gmina Miłoradz oraz Powiat Malborski mają zabezpieczone w budżecie środki na realizacje dokumentacji technicznej na budowę </w:t>
            </w:r>
            <w:r w:rsidR="00C93E6B">
              <w:rPr>
                <w:rFonts w:eastAsia="Times New Roman" w:cstheme="minorHAnsi"/>
                <w:sz w:val="20"/>
              </w:rPr>
              <w:t>ciągu pieszo-rowerowego</w:t>
            </w:r>
            <w:r>
              <w:rPr>
                <w:rFonts w:eastAsia="Times New Roman" w:cstheme="minorHAnsi"/>
                <w:sz w:val="20"/>
              </w:rPr>
              <w:t xml:space="preserve"> – realizacja 2023 rok</w:t>
            </w:r>
          </w:p>
        </w:tc>
      </w:tr>
      <w:tr w:rsidR="00D50909" w:rsidRPr="00C84ABE" w14:paraId="457E5DB9" w14:textId="77777777" w:rsidTr="00EA3A42">
        <w:trPr>
          <w:trHeight w:val="1004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13A936A5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Istniejące formy i uwarunkowania ochrony przyrody oraz niezbędna dokumentacja środowiskowa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779AEC9D" w14:textId="77777777" w:rsidR="00903390" w:rsidRDefault="00903390" w:rsidP="00903390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Konieczność uzyskania decyzji o środowiskowych uwarunkowaniach</w:t>
            </w:r>
          </w:p>
          <w:p w14:paraId="2D8E4EAE" w14:textId="27C0C613" w:rsidR="00D50909" w:rsidRPr="00C93E6B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  <w:p w14:paraId="476D41B3" w14:textId="5978D604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</w:tc>
      </w:tr>
      <w:tr w:rsidR="00D50909" w:rsidRPr="00C84ABE" w14:paraId="0F5322A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DE590D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0B0F34" w14:textId="48F718F4" w:rsidR="00D50909" w:rsidRPr="00C84ABE" w:rsidRDefault="00C93E6B" w:rsidP="00EA3A42">
            <w:pPr>
              <w:spacing w:before="60" w:after="60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Wykonanie nowe</w:t>
            </w:r>
            <w:r w:rsidR="00091207">
              <w:rPr>
                <w:rFonts w:eastAsia="Times New Roman" w:cstheme="minorHAnsi"/>
                <w:sz w:val="20"/>
              </w:rPr>
              <w:t>go</w:t>
            </w:r>
            <w:r>
              <w:rPr>
                <w:rFonts w:eastAsia="Times New Roman" w:cstheme="minorHAnsi"/>
                <w:sz w:val="20"/>
              </w:rPr>
              <w:t xml:space="preserve"> ciągu pieszo-rowerowego wraz z wykonaniem kompletnej konstrukcji i oznakowaniem</w:t>
            </w:r>
            <w:r w:rsidR="00091207">
              <w:rPr>
                <w:rFonts w:eastAsia="Times New Roman" w:cstheme="minorHAnsi"/>
                <w:sz w:val="20"/>
              </w:rPr>
              <w:t xml:space="preserve">, </w:t>
            </w:r>
            <w:r w:rsidR="00AF2CED">
              <w:rPr>
                <w:rFonts w:eastAsia="Times New Roman" w:cstheme="minorHAnsi"/>
                <w:sz w:val="20"/>
              </w:rPr>
              <w:t>. Wykonanie oświetlenia na fragmencie o dł. 220 m.</w:t>
            </w:r>
          </w:p>
        </w:tc>
      </w:tr>
      <w:tr w:rsidR="00D50909" w:rsidRPr="00C84ABE" w14:paraId="41FD87D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365DFBA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Szacunkowa wycena prac inwestycyjnych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44A1BB" w14:textId="1914612C" w:rsidR="00D50909" w:rsidRPr="00C84ABE" w:rsidRDefault="00AF2CED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 w:rsidRPr="00AF2CED">
              <w:rPr>
                <w:rFonts w:cstheme="minorHAnsi"/>
                <w:noProof/>
                <w:sz w:val="20"/>
              </w:rPr>
              <w:t>1</w:t>
            </w:r>
            <w:r w:rsidR="00F12DBA">
              <w:rPr>
                <w:rFonts w:cstheme="minorHAnsi"/>
                <w:noProof/>
                <w:sz w:val="20"/>
              </w:rPr>
              <w:t xml:space="preserve"> 410</w:t>
            </w:r>
            <w:r w:rsidRPr="00AF2CED">
              <w:rPr>
                <w:rFonts w:cstheme="minorHAnsi"/>
                <w:noProof/>
                <w:sz w:val="20"/>
              </w:rPr>
              <w:t> 000,00 zł</w:t>
            </w:r>
          </w:p>
        </w:tc>
      </w:tr>
      <w:tr w:rsidR="00D50909" w:rsidRPr="00C84ABE" w14:paraId="14C1B3D8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651BF64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Planowany termin gotowości do realizacji zadania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282934" w14:textId="3CB51423" w:rsidR="00D50909" w:rsidRPr="00C84ABE" w:rsidRDefault="00091207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 w:rsidRPr="00091207">
              <w:rPr>
                <w:rFonts w:cstheme="minorHAnsi"/>
                <w:noProof/>
                <w:sz w:val="20"/>
              </w:rPr>
              <w:t>III kw 2023</w:t>
            </w:r>
          </w:p>
        </w:tc>
      </w:tr>
      <w:tr w:rsidR="00D50909" w:rsidRPr="00C84ABE" w14:paraId="3E1647AD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61D13FF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Mapa przedstawiająca przebieg odcinka (rekomendowane dodanie do systemu geodezyjnego Beneficjenta)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0BC8539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6592716D" w14:textId="1A4456F1" w:rsidR="00D50909" w:rsidRPr="00AF2CED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AF2CED">
              <w:rPr>
                <w:rFonts w:cstheme="minorHAnsi"/>
                <w:noProof/>
                <w:sz w:val="20"/>
              </w:rPr>
              <w:t>TAK</w:t>
            </w:r>
          </w:p>
        </w:tc>
      </w:tr>
      <w:tr w:rsidR="00D50909" w:rsidRPr="00C84ABE" w14:paraId="6ADAE846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7C892F5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Dokumentacja fotograficzna: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4BABC69" w14:textId="74D8A14E" w:rsidR="00D50909" w:rsidRPr="00C84ABE" w:rsidRDefault="002F2C01" w:rsidP="00EA3A42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35B121DA" wp14:editId="676C6D0D">
                  <wp:extent cx="3790950" cy="2844258"/>
                  <wp:effectExtent l="0" t="0" r="0" b="0"/>
                  <wp:docPr id="280" name="Obraz 2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3829" cy="28464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0909" w:rsidRPr="00C84ABE" w14:paraId="54C99014" w14:textId="77777777" w:rsidTr="00EA3A42">
        <w:tc>
          <w:tcPr>
            <w:tcW w:w="2689" w:type="dxa"/>
            <w:tcBorders>
              <w:top w:val="single" w:sz="4" w:space="0" w:color="000000" w:themeColor="text1"/>
            </w:tcBorders>
            <w:shd w:val="clear" w:color="auto" w:fill="7C7FAB"/>
            <w:vAlign w:val="center"/>
          </w:tcPr>
          <w:p w14:paraId="6B0DC75A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Zgodność zakresu z Wytycznymi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</w:tcBorders>
          </w:tcPr>
          <w:p w14:paraId="0AA5C6B4" w14:textId="77777777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</w:rPr>
              <w:t>Czy planowany zakres inwestycji jest zgodny z dokumentem „Wytyczne Rowerowe – Projektowanie i utrzymywanie turystycznych tras rowerowych w województwie pomorskim”?</w:t>
            </w:r>
          </w:p>
          <w:p w14:paraId="14C49660" w14:textId="35CA2333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AF2CED">
              <w:rPr>
                <w:rFonts w:cstheme="minorHAnsi"/>
                <w:noProof/>
                <w:sz w:val="20"/>
              </w:rPr>
              <w:t>TAK</w:t>
            </w:r>
          </w:p>
        </w:tc>
      </w:tr>
      <w:bookmarkEnd w:id="0"/>
    </w:tbl>
    <w:p w14:paraId="2C2B1E62" w14:textId="77777777" w:rsidR="003708D0" w:rsidRDefault="003708D0" w:rsidP="003708D0"/>
    <w:p w14:paraId="7B08BDC2" w14:textId="4FC74EE9" w:rsidR="003708D0" w:rsidRPr="00D50909" w:rsidRDefault="003708D0" w:rsidP="003708D0">
      <w:r>
        <w:t>Powiat Malborski będący właścicielem drogi powiatowej nie planuje realizacji prac związanych z przebudowa przedmiotowego odcinka drogi powiatowej w żadnym zakresie. Droga jest w dobrym stanie technicznym.</w:t>
      </w:r>
    </w:p>
    <w:p w14:paraId="08310E72" w14:textId="77777777" w:rsidR="005D6C82" w:rsidRPr="00D50909" w:rsidRDefault="005D6C82" w:rsidP="00D50909"/>
    <w:sectPr w:rsidR="005D6C82" w:rsidRPr="00D50909" w:rsidSect="00A1476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C0D33" w14:textId="77777777" w:rsidR="003E0784" w:rsidRDefault="003E0784" w:rsidP="00ED4465">
      <w:pPr>
        <w:spacing w:after="0" w:line="240" w:lineRule="auto"/>
      </w:pPr>
      <w:r>
        <w:separator/>
      </w:r>
    </w:p>
  </w:endnote>
  <w:endnote w:type="continuationSeparator" w:id="0">
    <w:p w14:paraId="28DF4556" w14:textId="77777777" w:rsidR="003E0784" w:rsidRDefault="003E0784" w:rsidP="00E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8B0E6" w14:textId="77777777" w:rsidR="003E0784" w:rsidRDefault="003E0784" w:rsidP="00ED4465">
      <w:pPr>
        <w:spacing w:after="0" w:line="240" w:lineRule="auto"/>
      </w:pPr>
      <w:r>
        <w:separator/>
      </w:r>
    </w:p>
  </w:footnote>
  <w:footnote w:type="continuationSeparator" w:id="0">
    <w:p w14:paraId="188341AA" w14:textId="77777777" w:rsidR="003E0784" w:rsidRDefault="003E0784" w:rsidP="00ED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55F6E"/>
    <w:multiLevelType w:val="hybridMultilevel"/>
    <w:tmpl w:val="7E6A4238"/>
    <w:lvl w:ilvl="0" w:tplc="DECA80F2">
      <w:start w:val="1"/>
      <w:numFmt w:val="upperLetter"/>
      <w:lvlText w:val="%1."/>
      <w:lvlJc w:val="left"/>
      <w:pPr>
        <w:ind w:left="429" w:hanging="360"/>
      </w:pPr>
      <w:rPr>
        <w:rFonts w:hint="default"/>
      </w:rPr>
    </w:lvl>
    <w:lvl w:ilvl="1" w:tplc="D67CFDC0">
      <w:start w:val="1"/>
      <w:numFmt w:val="decimal"/>
      <w:lvlText w:val="%2)"/>
      <w:lvlJc w:val="left"/>
      <w:pPr>
        <w:ind w:left="1149" w:hanging="360"/>
      </w:pPr>
      <w:rPr>
        <w:rFonts w:hint="default"/>
      </w:rPr>
    </w:lvl>
    <w:lvl w:ilvl="2" w:tplc="AD30A952">
      <w:start w:val="1"/>
      <w:numFmt w:val="lowerLetter"/>
      <w:lvlText w:val="%3)"/>
      <w:lvlJc w:val="left"/>
      <w:pPr>
        <w:ind w:left="2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num w:numId="1" w16cid:durableId="972323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41058EF-5677-4C16-AABE-F56529EB56C5}"/>
  </w:docVars>
  <w:rsids>
    <w:rsidRoot w:val="00A14769"/>
    <w:rsid w:val="00016EA0"/>
    <w:rsid w:val="000336B2"/>
    <w:rsid w:val="00035F20"/>
    <w:rsid w:val="000473D5"/>
    <w:rsid w:val="00051923"/>
    <w:rsid w:val="00055733"/>
    <w:rsid w:val="00057F95"/>
    <w:rsid w:val="00091207"/>
    <w:rsid w:val="000A15E0"/>
    <w:rsid w:val="000D2A64"/>
    <w:rsid w:val="000D6CC7"/>
    <w:rsid w:val="000F1B4C"/>
    <w:rsid w:val="00114521"/>
    <w:rsid w:val="00117B32"/>
    <w:rsid w:val="0012028D"/>
    <w:rsid w:val="00155679"/>
    <w:rsid w:val="001571BD"/>
    <w:rsid w:val="00166AC6"/>
    <w:rsid w:val="00170949"/>
    <w:rsid w:val="001A35FA"/>
    <w:rsid w:val="001D4D26"/>
    <w:rsid w:val="002008EF"/>
    <w:rsid w:val="00206EBB"/>
    <w:rsid w:val="00222570"/>
    <w:rsid w:val="002306F7"/>
    <w:rsid w:val="002534EB"/>
    <w:rsid w:val="00272995"/>
    <w:rsid w:val="00284720"/>
    <w:rsid w:val="002C7F1A"/>
    <w:rsid w:val="002D3EB0"/>
    <w:rsid w:val="002E1EE9"/>
    <w:rsid w:val="002F2C01"/>
    <w:rsid w:val="003025F3"/>
    <w:rsid w:val="003256B8"/>
    <w:rsid w:val="003468F9"/>
    <w:rsid w:val="003708D0"/>
    <w:rsid w:val="00372FC7"/>
    <w:rsid w:val="00374A29"/>
    <w:rsid w:val="00385BD4"/>
    <w:rsid w:val="003B6E7A"/>
    <w:rsid w:val="003C0786"/>
    <w:rsid w:val="003E0784"/>
    <w:rsid w:val="003E18A5"/>
    <w:rsid w:val="0040416E"/>
    <w:rsid w:val="004107AD"/>
    <w:rsid w:val="00410E56"/>
    <w:rsid w:val="004430D9"/>
    <w:rsid w:val="00443D90"/>
    <w:rsid w:val="00445EE6"/>
    <w:rsid w:val="00483353"/>
    <w:rsid w:val="00485309"/>
    <w:rsid w:val="004A05F0"/>
    <w:rsid w:val="004B3691"/>
    <w:rsid w:val="004C1387"/>
    <w:rsid w:val="00595100"/>
    <w:rsid w:val="005B7C81"/>
    <w:rsid w:val="005D6C82"/>
    <w:rsid w:val="005E103C"/>
    <w:rsid w:val="005F5232"/>
    <w:rsid w:val="005F5BBC"/>
    <w:rsid w:val="006070C4"/>
    <w:rsid w:val="00611070"/>
    <w:rsid w:val="00613F57"/>
    <w:rsid w:val="00620E47"/>
    <w:rsid w:val="006308DE"/>
    <w:rsid w:val="00642B34"/>
    <w:rsid w:val="006516F1"/>
    <w:rsid w:val="00657A14"/>
    <w:rsid w:val="00660D98"/>
    <w:rsid w:val="00665741"/>
    <w:rsid w:val="006710EC"/>
    <w:rsid w:val="00691128"/>
    <w:rsid w:val="006C4DEF"/>
    <w:rsid w:val="006C4F90"/>
    <w:rsid w:val="006C6CA6"/>
    <w:rsid w:val="006D200F"/>
    <w:rsid w:val="006D46C4"/>
    <w:rsid w:val="006D681C"/>
    <w:rsid w:val="006D6FC4"/>
    <w:rsid w:val="00726842"/>
    <w:rsid w:val="00750233"/>
    <w:rsid w:val="00782993"/>
    <w:rsid w:val="007A3967"/>
    <w:rsid w:val="007D6164"/>
    <w:rsid w:val="00812207"/>
    <w:rsid w:val="00815586"/>
    <w:rsid w:val="0083683E"/>
    <w:rsid w:val="008420F1"/>
    <w:rsid w:val="008435F2"/>
    <w:rsid w:val="00857777"/>
    <w:rsid w:val="00863E0D"/>
    <w:rsid w:val="0087166B"/>
    <w:rsid w:val="008849BB"/>
    <w:rsid w:val="008E3CEA"/>
    <w:rsid w:val="008F21CC"/>
    <w:rsid w:val="008F73BF"/>
    <w:rsid w:val="00900411"/>
    <w:rsid w:val="00903390"/>
    <w:rsid w:val="009358FE"/>
    <w:rsid w:val="0093682A"/>
    <w:rsid w:val="00940141"/>
    <w:rsid w:val="00953D82"/>
    <w:rsid w:val="00961635"/>
    <w:rsid w:val="009959AD"/>
    <w:rsid w:val="00A14769"/>
    <w:rsid w:val="00A210BA"/>
    <w:rsid w:val="00A2340D"/>
    <w:rsid w:val="00A366C3"/>
    <w:rsid w:val="00A4128B"/>
    <w:rsid w:val="00A43946"/>
    <w:rsid w:val="00A84E6E"/>
    <w:rsid w:val="00AC15B7"/>
    <w:rsid w:val="00AF2CED"/>
    <w:rsid w:val="00B0471E"/>
    <w:rsid w:val="00BA7214"/>
    <w:rsid w:val="00BB4B60"/>
    <w:rsid w:val="00BC0AE4"/>
    <w:rsid w:val="00BE3D91"/>
    <w:rsid w:val="00BF737A"/>
    <w:rsid w:val="00C04237"/>
    <w:rsid w:val="00C14921"/>
    <w:rsid w:val="00C31F2A"/>
    <w:rsid w:val="00C32119"/>
    <w:rsid w:val="00C37BAC"/>
    <w:rsid w:val="00C57A0D"/>
    <w:rsid w:val="00C63AD1"/>
    <w:rsid w:val="00C6741E"/>
    <w:rsid w:val="00C93E6B"/>
    <w:rsid w:val="00CB09B9"/>
    <w:rsid w:val="00CB604A"/>
    <w:rsid w:val="00CF11F6"/>
    <w:rsid w:val="00CF2569"/>
    <w:rsid w:val="00D01DD7"/>
    <w:rsid w:val="00D31EF8"/>
    <w:rsid w:val="00D50909"/>
    <w:rsid w:val="00D51306"/>
    <w:rsid w:val="00D52366"/>
    <w:rsid w:val="00D61F18"/>
    <w:rsid w:val="00D7030D"/>
    <w:rsid w:val="00D75912"/>
    <w:rsid w:val="00D81CFD"/>
    <w:rsid w:val="00D83C9A"/>
    <w:rsid w:val="00D95CF8"/>
    <w:rsid w:val="00DA2A0F"/>
    <w:rsid w:val="00DE6439"/>
    <w:rsid w:val="00E36B2A"/>
    <w:rsid w:val="00E532EB"/>
    <w:rsid w:val="00E53CE0"/>
    <w:rsid w:val="00E6107D"/>
    <w:rsid w:val="00E77AF1"/>
    <w:rsid w:val="00E8253B"/>
    <w:rsid w:val="00E97681"/>
    <w:rsid w:val="00EA04D8"/>
    <w:rsid w:val="00EB145D"/>
    <w:rsid w:val="00EC03FA"/>
    <w:rsid w:val="00ED000B"/>
    <w:rsid w:val="00ED4465"/>
    <w:rsid w:val="00ED5426"/>
    <w:rsid w:val="00ED752C"/>
    <w:rsid w:val="00EF6DB2"/>
    <w:rsid w:val="00F031A4"/>
    <w:rsid w:val="00F06EFA"/>
    <w:rsid w:val="00F12DBA"/>
    <w:rsid w:val="00F62240"/>
    <w:rsid w:val="00F73026"/>
    <w:rsid w:val="00F8577F"/>
    <w:rsid w:val="00F85FF0"/>
    <w:rsid w:val="00F93529"/>
    <w:rsid w:val="00FA43A5"/>
    <w:rsid w:val="00FB1F4B"/>
    <w:rsid w:val="00FF2156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8FC"/>
  <w15:docId w15:val="{F07183AC-A719-4284-9F2C-D2EEE966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47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7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2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74A2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34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02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528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Mateusz Rynans</cp:lastModifiedBy>
  <cp:revision>35</cp:revision>
  <cp:lastPrinted>2022-10-05T11:16:00Z</cp:lastPrinted>
  <dcterms:created xsi:type="dcterms:W3CDTF">2022-06-22T14:28:00Z</dcterms:created>
  <dcterms:modified xsi:type="dcterms:W3CDTF">2022-11-07T13:10:00Z</dcterms:modified>
</cp:coreProperties>
</file>