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3314"/>
        <w:gridCol w:w="1602"/>
        <w:gridCol w:w="1739"/>
      </w:tblGrid>
      <w:tr w:rsidR="00D50909" w:rsidRPr="00C84ABE" w14:paraId="0ED34884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vAlign w:val="center"/>
          </w:tcPr>
          <w:p w14:paraId="372D0CD5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5" w:type="dxa"/>
            <w:gridSpan w:val="3"/>
            <w:shd w:val="clear" w:color="auto" w:fill="7C7FAB"/>
            <w:vAlign w:val="center"/>
          </w:tcPr>
          <w:p w14:paraId="56520C16" w14:textId="77777777" w:rsidR="00D50909" w:rsidRPr="00C84ABE" w:rsidRDefault="00D50909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C97CD3" w:rsidRPr="00C84ABE" w14:paraId="01DBC5A9" w14:textId="77777777" w:rsidTr="007A21DE">
        <w:tc>
          <w:tcPr>
            <w:tcW w:w="2689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C97CD3" w:rsidRPr="00C84ABE" w:rsidRDefault="00C97CD3" w:rsidP="00C97CD3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14" w:type="dxa"/>
            <w:tcBorders>
              <w:bottom w:val="single" w:sz="4" w:space="0" w:color="000000" w:themeColor="text1"/>
            </w:tcBorders>
            <w:vAlign w:val="center"/>
          </w:tcPr>
          <w:p w14:paraId="2334223C" w14:textId="49987BA7" w:rsidR="00C97CD3" w:rsidRPr="00C84ABE" w:rsidRDefault="00C97CD3" w:rsidP="00C97CD3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Gmina Ryjewo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  <w:shd w:val="clear" w:color="auto" w:fill="7C7FAB"/>
          </w:tcPr>
          <w:p w14:paraId="22121B29" w14:textId="29E6B215" w:rsidR="00C97CD3" w:rsidRPr="00AF1079" w:rsidRDefault="00C97CD3" w:rsidP="00C97CD3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 PTR II</w:t>
            </w: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:</w:t>
            </w:r>
          </w:p>
        </w:tc>
        <w:tc>
          <w:tcPr>
            <w:tcW w:w="1739" w:type="dxa"/>
            <w:tcBorders>
              <w:bottom w:val="single" w:sz="4" w:space="0" w:color="000000" w:themeColor="text1"/>
            </w:tcBorders>
            <w:vAlign w:val="center"/>
          </w:tcPr>
          <w:p w14:paraId="2BA8B2B0" w14:textId="6DE30F3A" w:rsidR="00C97CD3" w:rsidRPr="00C84ABE" w:rsidRDefault="00C97CD3" w:rsidP="00C97CD3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BC6DC6">
              <w:rPr>
                <w:rFonts w:eastAsia="Times New Roman" w:cstheme="minorHAnsi"/>
                <w:sz w:val="20"/>
                <w:szCs w:val="20"/>
              </w:rPr>
              <w:t>EV9_WTR_</w:t>
            </w:r>
            <w:r>
              <w:rPr>
                <w:rFonts w:eastAsia="Times New Roman" w:cstheme="minorHAnsi"/>
                <w:sz w:val="20"/>
                <w:szCs w:val="20"/>
              </w:rPr>
              <w:t>77a-77</w:t>
            </w:r>
          </w:p>
        </w:tc>
      </w:tr>
      <w:tr w:rsidR="00D50909" w:rsidRPr="00C84ABE" w14:paraId="7751E447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B0713" w14:textId="671FEA11" w:rsidR="00D50909" w:rsidRPr="00C84ABE" w:rsidRDefault="00AD5C5E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P</w:t>
            </w:r>
            <w:r w:rsidRPr="00DD22F6">
              <w:rPr>
                <w:rFonts w:eastAsia="Times New Roman" w:cs="Calibri"/>
                <w:sz w:val="20"/>
                <w:szCs w:val="20"/>
              </w:rPr>
              <w:t>rzy wjeździe na wał przeciwpowodziowy na drodze wojewódzkiej</w:t>
            </w:r>
            <w:r>
              <w:rPr>
                <w:rFonts w:eastAsia="Times New Roman" w:cs="Calibri"/>
                <w:sz w:val="20"/>
                <w:szCs w:val="20"/>
              </w:rPr>
              <w:t xml:space="preserve"> nr</w:t>
            </w:r>
            <w:r w:rsidRPr="00DD22F6">
              <w:rPr>
                <w:rFonts w:eastAsia="Times New Roman" w:cs="Calibri"/>
                <w:sz w:val="20"/>
                <w:szCs w:val="20"/>
              </w:rPr>
              <w:t xml:space="preserve"> 605 w kierunku Białej Góry</w:t>
            </w:r>
            <w:r>
              <w:rPr>
                <w:rFonts w:eastAsia="Times New Roman" w:cs="Calibri"/>
                <w:sz w:val="20"/>
                <w:szCs w:val="20"/>
              </w:rPr>
              <w:t xml:space="preserve"> 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6F0D0927" w:rsidR="00D50909" w:rsidRPr="00C84ABE" w:rsidRDefault="00AD5C5E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ok. 1,3 km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53F4D7D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090113" w14:textId="150B21E4" w:rsidR="00D50909" w:rsidRPr="00C84ABE" w:rsidRDefault="00AD5C5E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F33D6D">
              <w:rPr>
                <w:rFonts w:eastAsia="Times New Roman" w:cs="Calibri"/>
                <w:sz w:val="20"/>
                <w:szCs w:val="20"/>
              </w:rPr>
              <w:t>Za zjazdem z wału przeciwpowodziowego na drogę wojewódzką 605</w:t>
            </w:r>
            <w:r>
              <w:rPr>
                <w:rFonts w:eastAsia="Times New Roman" w:cs="Calibri"/>
                <w:sz w:val="20"/>
                <w:szCs w:val="20"/>
              </w:rPr>
              <w:t xml:space="preserve"> (p</w:t>
            </w:r>
            <w:r w:rsidRPr="00F33D6D">
              <w:rPr>
                <w:rFonts w:eastAsia="Times New Roman" w:cs="Calibri"/>
                <w:sz w:val="20"/>
                <w:szCs w:val="20"/>
              </w:rPr>
              <w:t>rzy Obelisku upamiętniającym 90 rocznicę odzyskania niepodległości w Białej Górze</w:t>
            </w:r>
            <w:r>
              <w:rPr>
                <w:rFonts w:eastAsia="Times New Roman" w:cs="Calibri"/>
                <w:sz w:val="20"/>
                <w:szCs w:val="20"/>
              </w:rPr>
              <w:t xml:space="preserve">) 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77777777" w:rsidR="00D50909" w:rsidRPr="00C84ABE" w:rsidRDefault="00D50909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Lipiec 2022</w:t>
            </w:r>
          </w:p>
        </w:tc>
      </w:tr>
      <w:tr w:rsidR="00D50909" w:rsidRPr="00C84ABE" w14:paraId="704CD784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4E636E88" w:rsidR="00D50909" w:rsidRPr="00A61923" w:rsidRDefault="00AD5C5E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Wał przeciwpowodziowy</w:t>
            </w:r>
            <w:r w:rsidRPr="00C84ABE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</w:tr>
      <w:tr w:rsidR="00D50909" w:rsidRPr="00C84ABE" w14:paraId="041A5A13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579447DF" w:rsidR="00D50909" w:rsidRPr="00C84ABE" w:rsidRDefault="00AD5C5E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Odcinek prowadzi do miejscowości Biała Góra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0A1E5E41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3631BA" w14:textId="6E962880" w:rsidR="00D50909" w:rsidRPr="00C84ABE" w:rsidRDefault="00AD5C5E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EF39A9">
              <w:rPr>
                <w:rFonts w:eastAsia="Times New Roman" w:cs="Calibri"/>
                <w:sz w:val="20"/>
                <w:szCs w:val="20"/>
              </w:rPr>
              <w:t>Niniejsz</w:t>
            </w:r>
            <w:r>
              <w:rPr>
                <w:rFonts w:eastAsia="Times New Roman" w:cs="Calibri"/>
                <w:sz w:val="20"/>
                <w:szCs w:val="20"/>
              </w:rPr>
              <w:t>y</w:t>
            </w:r>
            <w:r w:rsidRPr="00EF39A9">
              <w:rPr>
                <w:rFonts w:eastAsia="Times New Roman" w:cs="Calibri"/>
                <w:sz w:val="20"/>
                <w:szCs w:val="20"/>
              </w:rPr>
              <w:t xml:space="preserve"> </w:t>
            </w:r>
            <w:r>
              <w:rPr>
                <w:rFonts w:eastAsia="Times New Roman" w:cs="Calibri"/>
                <w:sz w:val="20"/>
                <w:szCs w:val="20"/>
              </w:rPr>
              <w:t xml:space="preserve">odcinek dotyczy niezagospodarowanego wału przeciwpowodziowego przebiegającego wzdłuż obecnie wykorzystywanej przez rowerzystów asfaltowej drogi wojewódzkiej </w:t>
            </w:r>
            <w:r w:rsidRPr="00EF39A9">
              <w:rPr>
                <w:rFonts w:eastAsia="Times New Roman" w:cs="Calibri"/>
                <w:sz w:val="20"/>
                <w:szCs w:val="20"/>
              </w:rPr>
              <w:t xml:space="preserve">charakteryzuje się </w:t>
            </w:r>
            <w:r>
              <w:rPr>
                <w:rFonts w:eastAsia="Times New Roman" w:cs="Calibri"/>
                <w:sz w:val="20"/>
                <w:szCs w:val="20"/>
              </w:rPr>
              <w:t>złą</w:t>
            </w:r>
            <w:r w:rsidRPr="00EF39A9">
              <w:rPr>
                <w:rFonts w:eastAsia="Times New Roman" w:cs="Calibri"/>
                <w:sz w:val="20"/>
                <w:szCs w:val="20"/>
              </w:rPr>
              <w:t xml:space="preserve"> jakością nawierzchni</w:t>
            </w:r>
            <w:r>
              <w:rPr>
                <w:rFonts w:eastAsia="Times New Roman" w:cs="Calibri"/>
                <w:sz w:val="20"/>
                <w:szCs w:val="20"/>
              </w:rPr>
              <w:t xml:space="preserve"> (bardzo liczne miejsca napraw ubytków asfaltu oraz nierówności). N</w:t>
            </w:r>
            <w:r w:rsidRPr="00491648">
              <w:rPr>
                <w:rFonts w:eastAsia="Times New Roman" w:cs="Calibri"/>
                <w:sz w:val="20"/>
                <w:szCs w:val="20"/>
              </w:rPr>
              <w:t xml:space="preserve">a początku odcinka wjazd na wał wykonany </w:t>
            </w:r>
            <w:r>
              <w:rPr>
                <w:rFonts w:eastAsia="Times New Roman" w:cs="Calibri"/>
                <w:sz w:val="20"/>
                <w:szCs w:val="20"/>
              </w:rPr>
              <w:t xml:space="preserve">jest </w:t>
            </w:r>
            <w:r w:rsidRPr="00491648">
              <w:rPr>
                <w:rFonts w:eastAsia="Times New Roman" w:cs="Calibri"/>
                <w:sz w:val="20"/>
                <w:szCs w:val="20"/>
              </w:rPr>
              <w:t>z płyt yomb</w:t>
            </w:r>
            <w:r>
              <w:rPr>
                <w:rFonts w:eastAsia="Times New Roman" w:cs="Calibri"/>
                <w:sz w:val="20"/>
                <w:szCs w:val="20"/>
              </w:rPr>
              <w:t xml:space="preserve">, które to nie będą wchodzić w zakres przedsięwzięcia </w:t>
            </w:r>
          </w:p>
        </w:tc>
      </w:tr>
      <w:tr w:rsidR="00D50909" w:rsidRPr="00C84ABE" w14:paraId="57F67760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8B589E4" w14:textId="21BCE2DA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nawierzchni: </w:t>
            </w:r>
            <w:r w:rsidR="00B26104">
              <w:rPr>
                <w:rFonts w:cstheme="minorHAnsi"/>
                <w:noProof/>
                <w:sz w:val="20"/>
              </w:rPr>
              <w:t xml:space="preserve">masa bitumiczna </w:t>
            </w:r>
            <w:r w:rsidR="000C31EB">
              <w:rPr>
                <w:rFonts w:cstheme="minorHAnsi"/>
                <w:noProof/>
                <w:sz w:val="20"/>
              </w:rPr>
              <w:t>,</w:t>
            </w:r>
          </w:p>
          <w:p w14:paraId="0777B0CB" w14:textId="0DE97EB9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Rodzaj drogi: ciąg pierszo-rowerowy,</w:t>
            </w:r>
          </w:p>
          <w:p w14:paraId="15C621BB" w14:textId="1B8A39B8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Szerokość drogi: 2,5 m</w:t>
            </w:r>
            <w:r w:rsidR="000C31EB">
              <w:rPr>
                <w:rFonts w:cstheme="minorHAnsi"/>
                <w:noProof/>
                <w:sz w:val="20"/>
              </w:rPr>
              <w:t>,</w:t>
            </w:r>
          </w:p>
          <w:p w14:paraId="6D08CF6F" w14:textId="72FA9D8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Obszar zabudowany: </w:t>
            </w:r>
            <w:r w:rsidRPr="00EB7CC2">
              <w:rPr>
                <w:rFonts w:cstheme="minorHAnsi"/>
                <w:noProof/>
                <w:sz w:val="20"/>
              </w:rPr>
              <w:t>Nie</w:t>
            </w:r>
          </w:p>
          <w:p w14:paraId="060AC0A0" w14:textId="79899DF8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Inne kwestie: </w:t>
            </w:r>
            <w:r w:rsidR="000C31EB">
              <w:rPr>
                <w:rFonts w:cstheme="minorHAnsi"/>
                <w:noProof/>
                <w:sz w:val="20"/>
              </w:rPr>
              <w:t>BRAK</w:t>
            </w:r>
          </w:p>
          <w:p w14:paraId="658C71CB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</w:tc>
      </w:tr>
      <w:tr w:rsidR="00D50909" w:rsidRPr="00C84ABE" w14:paraId="6FE52755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34796F1" w14:textId="77777777" w:rsidR="00D50909" w:rsidRPr="00620A1B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620A1B">
              <w:rPr>
                <w:rFonts w:eastAsia="Times New Roman" w:cstheme="minorHAnsi"/>
                <w:sz w:val="20"/>
                <w:szCs w:val="20"/>
              </w:rPr>
              <w:t>numery działek, identyfikatory działek, obręb, własność, numery KW.</w:t>
            </w:r>
          </w:p>
          <w:p w14:paraId="2F006CA2" w14:textId="7FC09A5A" w:rsidR="000C31EB" w:rsidRPr="00620A1B" w:rsidRDefault="000C31EB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620A1B">
              <w:rPr>
                <w:rFonts w:eastAsia="Times New Roman" w:cstheme="minorHAnsi"/>
                <w:sz w:val="20"/>
                <w:szCs w:val="20"/>
              </w:rPr>
              <w:t>415/5</w:t>
            </w:r>
            <w:r w:rsidR="003A586A" w:rsidRPr="00620A1B">
              <w:rPr>
                <w:rFonts w:eastAsia="Times New Roman" w:cstheme="minorHAnsi"/>
                <w:sz w:val="20"/>
                <w:szCs w:val="20"/>
              </w:rPr>
              <w:t xml:space="preserve">; </w:t>
            </w:r>
            <w:r w:rsidR="003A586A" w:rsidRPr="00620A1B">
              <w:rPr>
                <w:rStyle w:val="item-fieldvalue"/>
                <w:sz w:val="20"/>
                <w:szCs w:val="20"/>
              </w:rPr>
              <w:t xml:space="preserve">220705_2.0002.415/5; Benowo, Wody Polskie, </w:t>
            </w:r>
            <w:r w:rsidR="00EB7CC2" w:rsidRPr="00620A1B">
              <w:rPr>
                <w:rStyle w:val="item-fieldvalue"/>
                <w:sz w:val="20"/>
                <w:szCs w:val="20"/>
              </w:rPr>
              <w:t>GD1I/00054155/9</w:t>
            </w:r>
          </w:p>
          <w:p w14:paraId="6B81DC16" w14:textId="7D59D535" w:rsidR="000C31EB" w:rsidRPr="00620A1B" w:rsidRDefault="000C31EB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620A1B">
              <w:rPr>
                <w:rFonts w:eastAsia="Times New Roman" w:cstheme="minorHAnsi"/>
                <w:sz w:val="20"/>
                <w:szCs w:val="20"/>
              </w:rPr>
              <w:t>414/1</w:t>
            </w:r>
            <w:r w:rsidR="003A586A" w:rsidRPr="00620A1B">
              <w:rPr>
                <w:rFonts w:eastAsia="Times New Roman" w:cstheme="minorHAnsi"/>
                <w:sz w:val="20"/>
                <w:szCs w:val="20"/>
              </w:rPr>
              <w:t xml:space="preserve">; </w:t>
            </w:r>
            <w:r w:rsidR="003A586A" w:rsidRPr="00620A1B">
              <w:rPr>
                <w:rStyle w:val="item-fieldvalue"/>
                <w:sz w:val="20"/>
                <w:szCs w:val="20"/>
              </w:rPr>
              <w:t xml:space="preserve">220705_2.0002.414/1; Benowo, Wody Polskie, </w:t>
            </w:r>
            <w:r w:rsidR="00EB7CC2" w:rsidRPr="00620A1B">
              <w:rPr>
                <w:rStyle w:val="item-fieldvalue"/>
                <w:sz w:val="20"/>
                <w:szCs w:val="20"/>
              </w:rPr>
              <w:t>GD1I/00049933/9</w:t>
            </w:r>
          </w:p>
        </w:tc>
      </w:tr>
      <w:tr w:rsidR="00D50909" w:rsidRPr="00C84ABE" w14:paraId="24D50DCB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9419A9B" w14:textId="1AB8B291" w:rsidR="00D50909" w:rsidRPr="00620A1B" w:rsidRDefault="00620A1B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620A1B">
              <w:rPr>
                <w:sz w:val="20"/>
                <w:szCs w:val="20"/>
              </w:rPr>
              <w:t>Państwowe Gospodarstwo Wodne Wody Polskie Zarząd Zlewni w Tczewie wstępnie wyraża zgodę na realizację inwestycji polegającej na budowie ścieżki rowerowej na wale</w:t>
            </w:r>
          </w:p>
        </w:tc>
      </w:tr>
      <w:tr w:rsidR="00D50909" w:rsidRPr="00C84ABE" w14:paraId="738D6D5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DDFF07" w14:textId="748A08B1" w:rsidR="00D50909" w:rsidRPr="00C84ABE" w:rsidRDefault="003A586A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Brak</w:t>
            </w:r>
          </w:p>
        </w:tc>
      </w:tr>
      <w:tr w:rsidR="00D50909" w:rsidRPr="00C84ABE" w14:paraId="457E5DB9" w14:textId="77777777" w:rsidTr="00EA3A42">
        <w:trPr>
          <w:trHeight w:val="1004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D8E4EAE" w14:textId="05DD95FD" w:rsidR="00D50909" w:rsidRPr="00C84ABE" w:rsidRDefault="003A586A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NIE</w:t>
            </w:r>
          </w:p>
          <w:p w14:paraId="476D41B3" w14:textId="20CFB326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</w:tc>
      </w:tr>
      <w:tr w:rsidR="00D50909" w:rsidRPr="00C84ABE" w14:paraId="0F5322A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0B0F34" w14:textId="35C79FB5" w:rsidR="00D50909" w:rsidRPr="00C84ABE" w:rsidRDefault="00EB7CC2" w:rsidP="00EA3A42">
            <w:p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Budowa Ściażki pieszo rowerowej wzdłóz drogi wojewódzkiej na koronie wału</w:t>
            </w:r>
          </w:p>
        </w:tc>
      </w:tr>
      <w:tr w:rsidR="00D50909" w:rsidRPr="00C84ABE" w14:paraId="41FD87D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44A1BB" w14:textId="3D4FCEE5" w:rsidR="00D50909" w:rsidRPr="00C84ABE" w:rsidRDefault="00EB7CC2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cstheme="minorHAnsi"/>
                <w:noProof/>
                <w:sz w:val="20"/>
              </w:rPr>
              <w:t>Ok. 1.300.000,00 zł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14C1B3D8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82934" w14:textId="4DF3D025" w:rsidR="00D50909" w:rsidRPr="00C84ABE" w:rsidRDefault="00EB7CC2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EB7CC2">
              <w:rPr>
                <w:rFonts w:cstheme="minorHAnsi"/>
                <w:noProof/>
                <w:sz w:val="20"/>
              </w:rPr>
              <w:t>2024</w:t>
            </w:r>
          </w:p>
        </w:tc>
      </w:tr>
      <w:tr w:rsidR="00D50909" w:rsidRPr="00C84ABE" w14:paraId="3E1647AD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Mapa przedstawiająca przebieg odcinka (rekomendowane dodanie do systemu geodezyjnego Beneficjenta)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67E8019" w14:textId="77777777" w:rsidR="00D50909" w:rsidRPr="00EB7CC2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EB7CC2">
              <w:rPr>
                <w:rFonts w:cstheme="minorHAnsi"/>
                <w:noProof/>
                <w:sz w:val="20"/>
              </w:rPr>
              <w:t>Prośba o weryfikację przebiegu odcinka wskazanego na mapie „PTR 2.0 – weryfikacja odcinka”:</w:t>
            </w:r>
          </w:p>
          <w:p w14:paraId="1E051AF2" w14:textId="77777777" w:rsidR="00D50909" w:rsidRPr="00EB7CC2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EB7CC2">
              <w:rPr>
                <w:rFonts w:cstheme="minorHAnsi"/>
                <w:noProof/>
                <w:sz w:val="20"/>
              </w:rPr>
              <w:t>(</w:t>
            </w:r>
            <w:hyperlink r:id="rId9" w:history="1">
              <w:r w:rsidRPr="00EB7CC2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EB7CC2">
              <w:rPr>
                <w:rFonts w:cstheme="minorHAnsi"/>
                <w:noProof/>
                <w:sz w:val="20"/>
              </w:rPr>
              <w:t xml:space="preserve">) </w:t>
            </w:r>
          </w:p>
          <w:p w14:paraId="44E783EA" w14:textId="77777777" w:rsidR="00D50909" w:rsidRPr="00EB7CC2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00BC8539" w14:textId="77777777" w:rsidR="00D50909" w:rsidRPr="00EB7CC2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EB7CC2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5B4F8DAF" w14:textId="15B75736" w:rsidR="00D50909" w:rsidRPr="00EB7CC2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EB7CC2">
              <w:rPr>
                <w:rFonts w:cstheme="minorHAnsi"/>
                <w:noProof/>
                <w:sz w:val="20"/>
              </w:rPr>
              <w:t>TAK</w:t>
            </w:r>
          </w:p>
          <w:p w14:paraId="15FB5256" w14:textId="77777777" w:rsidR="00D50909" w:rsidRPr="00EB7CC2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  <w:p w14:paraId="6592716D" w14:textId="77777777" w:rsidR="00D50909" w:rsidRPr="00EB7CC2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EB7CC2">
              <w:rPr>
                <w:rFonts w:eastAsia="Times New Roman" w:cstheme="minorHAnsi"/>
                <w:sz w:val="20"/>
              </w:rPr>
              <w:t xml:space="preserve">W przypadku konieczności naniesienia zmian do powyżej przedstawionego przebiegu prosimy o naniesienie zmian i przesłanie wersji wektorowej przebiegu odcinka. </w:t>
            </w:r>
          </w:p>
        </w:tc>
      </w:tr>
      <w:tr w:rsidR="00D50909" w:rsidRPr="00C84ABE" w14:paraId="6ADAE846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Dokumentacja fotograficzna: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BABC69" w14:textId="5FE11EA3" w:rsidR="00D50909" w:rsidRPr="00EB7CC2" w:rsidRDefault="00AD5C5E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 w:rsidRPr="00EB7CC2">
              <w:rPr>
                <w:noProof/>
              </w:rPr>
              <w:drawing>
                <wp:inline distT="0" distB="0" distL="0" distR="0" wp14:anchorId="5A6138AB" wp14:editId="5EC7CFB6">
                  <wp:extent cx="3867150" cy="2900576"/>
                  <wp:effectExtent l="0" t="0" r="0" b="0"/>
                  <wp:docPr id="264" name="Obraz 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5128" cy="29065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0909" w:rsidRPr="00C84ABE" w14:paraId="54C99014" w14:textId="77777777" w:rsidTr="00EA3A42">
        <w:tc>
          <w:tcPr>
            <w:tcW w:w="2689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0DC75A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</w:tcBorders>
          </w:tcPr>
          <w:p w14:paraId="0AA5C6B4" w14:textId="77777777" w:rsidR="00D50909" w:rsidRPr="00EB7CC2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</w:rPr>
            </w:pPr>
            <w:r w:rsidRPr="00EB7CC2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14C49660" w14:textId="5D2D0781" w:rsidR="00D50909" w:rsidRPr="00EB7CC2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</w:rPr>
            </w:pPr>
            <w:r w:rsidRPr="00EB7CC2">
              <w:rPr>
                <w:rFonts w:cstheme="minorHAnsi"/>
                <w:noProof/>
                <w:sz w:val="20"/>
              </w:rPr>
              <w:t xml:space="preserve">TAK </w:t>
            </w:r>
          </w:p>
        </w:tc>
      </w:tr>
      <w:bookmarkEnd w:id="0"/>
    </w:tbl>
    <w:p w14:paraId="08310E72" w14:textId="77777777" w:rsidR="005D6C82" w:rsidRPr="00D50909" w:rsidRDefault="005D6C82" w:rsidP="00D50909"/>
    <w:sectPr w:rsidR="005D6C82" w:rsidRPr="00D50909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9221D" w14:textId="77777777" w:rsidR="00BB0CF6" w:rsidRDefault="00BB0CF6" w:rsidP="00ED4465">
      <w:pPr>
        <w:spacing w:after="0" w:line="240" w:lineRule="auto"/>
      </w:pPr>
      <w:r>
        <w:separator/>
      </w:r>
    </w:p>
  </w:endnote>
  <w:endnote w:type="continuationSeparator" w:id="0">
    <w:p w14:paraId="0B2F36E3" w14:textId="77777777" w:rsidR="00BB0CF6" w:rsidRDefault="00BB0CF6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7A115" w14:textId="77777777" w:rsidR="00BB0CF6" w:rsidRDefault="00BB0CF6" w:rsidP="00ED4465">
      <w:pPr>
        <w:spacing w:after="0" w:line="240" w:lineRule="auto"/>
      </w:pPr>
      <w:r>
        <w:separator/>
      </w:r>
    </w:p>
  </w:footnote>
  <w:footnote w:type="continuationSeparator" w:id="0">
    <w:p w14:paraId="6E3576EB" w14:textId="77777777" w:rsidR="00BB0CF6" w:rsidRDefault="00BB0CF6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num w:numId="1" w16cid:durableId="97232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41058EF-5677-4C16-AABE-F56529EB56C5}"/>
  </w:docVars>
  <w:rsids>
    <w:rsidRoot w:val="00A14769"/>
    <w:rsid w:val="00016EA0"/>
    <w:rsid w:val="000336B2"/>
    <w:rsid w:val="00035F20"/>
    <w:rsid w:val="000473D5"/>
    <w:rsid w:val="00051923"/>
    <w:rsid w:val="00057F95"/>
    <w:rsid w:val="000B6645"/>
    <w:rsid w:val="000C31EB"/>
    <w:rsid w:val="000D2A64"/>
    <w:rsid w:val="000D6CC7"/>
    <w:rsid w:val="000F1B4C"/>
    <w:rsid w:val="00114521"/>
    <w:rsid w:val="00117B32"/>
    <w:rsid w:val="0012028D"/>
    <w:rsid w:val="00155679"/>
    <w:rsid w:val="001571BD"/>
    <w:rsid w:val="00166AC6"/>
    <w:rsid w:val="00170949"/>
    <w:rsid w:val="001A35FA"/>
    <w:rsid w:val="001D4D26"/>
    <w:rsid w:val="002008EF"/>
    <w:rsid w:val="00206EBB"/>
    <w:rsid w:val="00222570"/>
    <w:rsid w:val="002306F7"/>
    <w:rsid w:val="002534EB"/>
    <w:rsid w:val="00272995"/>
    <w:rsid w:val="00284720"/>
    <w:rsid w:val="002C7F1A"/>
    <w:rsid w:val="002D3EB0"/>
    <w:rsid w:val="002E1EE9"/>
    <w:rsid w:val="003025F3"/>
    <w:rsid w:val="003256B8"/>
    <w:rsid w:val="003468F9"/>
    <w:rsid w:val="00372FC7"/>
    <w:rsid w:val="00374A29"/>
    <w:rsid w:val="003A586A"/>
    <w:rsid w:val="003B6E7A"/>
    <w:rsid w:val="003C0786"/>
    <w:rsid w:val="003E18A5"/>
    <w:rsid w:val="004107AD"/>
    <w:rsid w:val="00410E56"/>
    <w:rsid w:val="004430D9"/>
    <w:rsid w:val="00443D90"/>
    <w:rsid w:val="00445EE6"/>
    <w:rsid w:val="00485309"/>
    <w:rsid w:val="004A05F0"/>
    <w:rsid w:val="004B3691"/>
    <w:rsid w:val="004C1387"/>
    <w:rsid w:val="00544DC8"/>
    <w:rsid w:val="00595100"/>
    <w:rsid w:val="005B7C81"/>
    <w:rsid w:val="005D6C82"/>
    <w:rsid w:val="005E103C"/>
    <w:rsid w:val="005F5232"/>
    <w:rsid w:val="005F5BBC"/>
    <w:rsid w:val="006070C4"/>
    <w:rsid w:val="00620A1B"/>
    <w:rsid w:val="00620E47"/>
    <w:rsid w:val="006308DE"/>
    <w:rsid w:val="00642B34"/>
    <w:rsid w:val="006516F1"/>
    <w:rsid w:val="00657A14"/>
    <w:rsid w:val="00660D98"/>
    <w:rsid w:val="00665741"/>
    <w:rsid w:val="006710EC"/>
    <w:rsid w:val="00691128"/>
    <w:rsid w:val="006C4DEF"/>
    <w:rsid w:val="006C4F90"/>
    <w:rsid w:val="006C6CA6"/>
    <w:rsid w:val="006D200F"/>
    <w:rsid w:val="006D46C4"/>
    <w:rsid w:val="006D681C"/>
    <w:rsid w:val="006D6FC4"/>
    <w:rsid w:val="00726842"/>
    <w:rsid w:val="00750233"/>
    <w:rsid w:val="00782993"/>
    <w:rsid w:val="007A3967"/>
    <w:rsid w:val="007D6164"/>
    <w:rsid w:val="00812207"/>
    <w:rsid w:val="00815586"/>
    <w:rsid w:val="0083683E"/>
    <w:rsid w:val="008420F1"/>
    <w:rsid w:val="008435F2"/>
    <w:rsid w:val="00857777"/>
    <w:rsid w:val="00863E0D"/>
    <w:rsid w:val="0087166B"/>
    <w:rsid w:val="008849BB"/>
    <w:rsid w:val="008E3CEA"/>
    <w:rsid w:val="008F21CC"/>
    <w:rsid w:val="008F73BF"/>
    <w:rsid w:val="00900411"/>
    <w:rsid w:val="009358FE"/>
    <w:rsid w:val="0093682A"/>
    <w:rsid w:val="00953D82"/>
    <w:rsid w:val="00961635"/>
    <w:rsid w:val="009959AD"/>
    <w:rsid w:val="00A14769"/>
    <w:rsid w:val="00A210BA"/>
    <w:rsid w:val="00A2340D"/>
    <w:rsid w:val="00A366C3"/>
    <w:rsid w:val="00A4128B"/>
    <w:rsid w:val="00A84E6E"/>
    <w:rsid w:val="00AC15B7"/>
    <w:rsid w:val="00AD5C5E"/>
    <w:rsid w:val="00B0471E"/>
    <w:rsid w:val="00B26104"/>
    <w:rsid w:val="00BA7214"/>
    <w:rsid w:val="00BB0CF6"/>
    <w:rsid w:val="00BB4B60"/>
    <w:rsid w:val="00BC0AE4"/>
    <w:rsid w:val="00BE3D91"/>
    <w:rsid w:val="00BF737A"/>
    <w:rsid w:val="00C04237"/>
    <w:rsid w:val="00C14921"/>
    <w:rsid w:val="00C31F2A"/>
    <w:rsid w:val="00C32119"/>
    <w:rsid w:val="00C37BAC"/>
    <w:rsid w:val="00C57A0D"/>
    <w:rsid w:val="00C63AD1"/>
    <w:rsid w:val="00C6741E"/>
    <w:rsid w:val="00C97CD3"/>
    <w:rsid w:val="00CB09B9"/>
    <w:rsid w:val="00CB604A"/>
    <w:rsid w:val="00CF11F6"/>
    <w:rsid w:val="00CF2569"/>
    <w:rsid w:val="00D01DD7"/>
    <w:rsid w:val="00D31EF8"/>
    <w:rsid w:val="00D50909"/>
    <w:rsid w:val="00D51306"/>
    <w:rsid w:val="00D52366"/>
    <w:rsid w:val="00D61F18"/>
    <w:rsid w:val="00D7030D"/>
    <w:rsid w:val="00D75912"/>
    <w:rsid w:val="00D81CFD"/>
    <w:rsid w:val="00D9051A"/>
    <w:rsid w:val="00D95CF8"/>
    <w:rsid w:val="00DA2A0F"/>
    <w:rsid w:val="00DE6439"/>
    <w:rsid w:val="00E36B2A"/>
    <w:rsid w:val="00E532EB"/>
    <w:rsid w:val="00E53CE0"/>
    <w:rsid w:val="00E6107D"/>
    <w:rsid w:val="00E77AF1"/>
    <w:rsid w:val="00E8253B"/>
    <w:rsid w:val="00E97681"/>
    <w:rsid w:val="00EA04D8"/>
    <w:rsid w:val="00EB145D"/>
    <w:rsid w:val="00EB7CC2"/>
    <w:rsid w:val="00EC03FA"/>
    <w:rsid w:val="00ED000B"/>
    <w:rsid w:val="00ED4465"/>
    <w:rsid w:val="00ED5426"/>
    <w:rsid w:val="00ED752C"/>
    <w:rsid w:val="00EF6DB2"/>
    <w:rsid w:val="00F031A4"/>
    <w:rsid w:val="00F06EFA"/>
    <w:rsid w:val="00F62240"/>
    <w:rsid w:val="00F73026"/>
    <w:rsid w:val="00F8577F"/>
    <w:rsid w:val="00F85FF0"/>
    <w:rsid w:val="00F93529"/>
    <w:rsid w:val="00FA43A5"/>
    <w:rsid w:val="00FB1F4B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  <w:style w:type="character" w:customStyle="1" w:styleId="item-fieldvalue">
    <w:name w:val="item-fieldvalue"/>
    <w:basedOn w:val="Domylnaczcionkaakapitu"/>
    <w:rsid w:val="003A58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google.com/maps/d/u/0/edit?mid=1oGYmnGb2etWl-njwa-UtK58jQcF7mduQ&amp;ll=54.25865129293537%2C17.989397697388725&amp;z=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409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34</cp:revision>
  <cp:lastPrinted>2022-06-22T07:30:00Z</cp:lastPrinted>
  <dcterms:created xsi:type="dcterms:W3CDTF">2022-06-22T14:28:00Z</dcterms:created>
  <dcterms:modified xsi:type="dcterms:W3CDTF">2022-11-07T13:07:00Z</dcterms:modified>
</cp:coreProperties>
</file>